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6C" w:rsidRDefault="00573A6C">
      <w:pPr>
        <w:pStyle w:val="newncpi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573A6C" w:rsidRDefault="00573A6C">
      <w:pPr>
        <w:pStyle w:val="newncpi"/>
        <w:ind w:firstLine="0"/>
        <w:jc w:val="center"/>
      </w:pPr>
      <w:r>
        <w:rPr>
          <w:rStyle w:val="datepr"/>
        </w:rPr>
        <w:t>28 ноября 2024 г.</w:t>
      </w:r>
      <w:r>
        <w:rPr>
          <w:rStyle w:val="number"/>
        </w:rPr>
        <w:t xml:space="preserve"> № 350</w:t>
      </w:r>
    </w:p>
    <w:p w:rsidR="00573A6C" w:rsidRDefault="00573A6C">
      <w:pPr>
        <w:pStyle w:val="titlencpi"/>
      </w:pPr>
      <w:r>
        <w:t>О форме отчета об использовании средств фонда инновационного развития научно-технологического парка</w:t>
      </w:r>
    </w:p>
    <w:p w:rsidR="00573A6C" w:rsidRDefault="00573A6C">
      <w:pPr>
        <w:pStyle w:val="preamble"/>
      </w:pPr>
      <w:r>
        <w:t>На основании статьи 26 Закона Республики Беларусь от 10 июля 2012 г. № 425-З «О государственной инновационной политике и инновационной деятельности», пункта 2 Указа Президента Республики Беларусь от 3 января 2007 г. № 1 «Об утверждении Положения о порядке создания субъектов инновационной инфраструктуры», подпункта 3.8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282, и в целях совершенствования и развития инновационной инфраструктуры ПРИКАЗЫВАЮ:</w:t>
      </w:r>
    </w:p>
    <w:p w:rsidR="00573A6C" w:rsidRDefault="00573A6C">
      <w:pPr>
        <w:pStyle w:val="point"/>
      </w:pPr>
      <w:r>
        <w:t>1. Установить форму отчета об использовании средств фонда инновационного развития научно-технологического парка согласно приложению.</w:t>
      </w:r>
    </w:p>
    <w:p w:rsidR="00573A6C" w:rsidRDefault="00573A6C">
      <w:pPr>
        <w:pStyle w:val="point"/>
      </w:pPr>
      <w:r>
        <w:t>2. Научно-технологическим паркам ежегодно до 15 марта года, следующего за отчетным, представлять в Государственный комитет по науке и технологиям Республики Беларусь отчет об использовании средств фонда инновационного развития научно-технологического парка.</w:t>
      </w:r>
    </w:p>
    <w:p w:rsidR="00573A6C" w:rsidRDefault="00573A6C">
      <w:pPr>
        <w:pStyle w:val="point"/>
      </w:pPr>
      <w:r>
        <w:t>3. Управлению инновационной политики в трехдневный срок довести настоящий приказ до сведения научно-технологических парков.</w:t>
      </w:r>
    </w:p>
    <w:p w:rsidR="00573A6C" w:rsidRDefault="00573A6C">
      <w:pPr>
        <w:pStyle w:val="point"/>
      </w:pPr>
      <w:r>
        <w:t>4. Контроль за выполнением настоящего приказа возложить на первого заместителя Председателя Государственного комитета по науке и технологиям Республики Беларусь Коржицкого Д.Л.</w:t>
      </w:r>
    </w:p>
    <w:p w:rsidR="00573A6C" w:rsidRDefault="00573A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73A6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3A6C" w:rsidRDefault="00573A6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3A6C" w:rsidRDefault="00573A6C">
            <w:pPr>
              <w:pStyle w:val="newncpi0"/>
              <w:jc w:val="right"/>
            </w:pPr>
            <w:r>
              <w:rPr>
                <w:rStyle w:val="pers"/>
              </w:rPr>
              <w:t>С.В.Шлычков</w:t>
            </w:r>
          </w:p>
        </w:tc>
      </w:tr>
    </w:tbl>
    <w:p w:rsidR="00573A6C" w:rsidRDefault="00573A6C">
      <w:pPr>
        <w:pStyle w:val="newncpi"/>
      </w:pPr>
      <w:r>
        <w:t> </w:t>
      </w:r>
    </w:p>
    <w:p w:rsidR="00573A6C" w:rsidRDefault="00573A6C">
      <w:pPr>
        <w:rPr>
          <w:rFonts w:eastAsia="Times New Roman"/>
        </w:rPr>
        <w:sectPr w:rsidR="00573A6C" w:rsidSect="007132EF">
          <w:pgSz w:w="11906" w:h="16838"/>
          <w:pgMar w:top="1134" w:right="1133" w:bottom="1134" w:left="1416" w:header="708" w:footer="708" w:gutter="0"/>
          <w:cols w:space="708"/>
          <w:docGrid w:linePitch="408"/>
        </w:sectPr>
      </w:pPr>
    </w:p>
    <w:p w:rsidR="00573A6C" w:rsidRDefault="00573A6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1"/>
        <w:gridCol w:w="4765"/>
      </w:tblGrid>
      <w:tr w:rsidR="00573A6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capu1"/>
            </w:pPr>
            <w:r>
              <w:t>УТВЕРЖДЕНО</w:t>
            </w:r>
          </w:p>
          <w:p w:rsidR="00573A6C" w:rsidRDefault="00573A6C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573A6C" w:rsidRDefault="00573A6C">
            <w:pPr>
              <w:pStyle w:val="cap1"/>
            </w:pPr>
            <w:r>
              <w:t>28.11.2024 № 350</w:t>
            </w:r>
          </w:p>
        </w:tc>
      </w:tr>
    </w:tbl>
    <w:p w:rsidR="00573A6C" w:rsidRDefault="00573A6C">
      <w:pPr>
        <w:pStyle w:val="newncpi"/>
      </w:pPr>
      <w:r>
        <w:t> </w:t>
      </w:r>
    </w:p>
    <w:p w:rsidR="00573A6C" w:rsidRDefault="00573A6C">
      <w:pPr>
        <w:pStyle w:val="onestring"/>
      </w:pPr>
      <w:r>
        <w:t>Форма</w:t>
      </w:r>
    </w:p>
    <w:p w:rsidR="00573A6C" w:rsidRDefault="00573A6C">
      <w:pPr>
        <w:pStyle w:val="titleu"/>
        <w:spacing w:after="0"/>
        <w:jc w:val="center"/>
      </w:pPr>
      <w:r>
        <w:t>ОТЧЕТ</w:t>
      </w:r>
      <w:r>
        <w:br/>
        <w:t>об использовании средств фонда инновационного развития в 20__ году*</w:t>
      </w:r>
    </w:p>
    <w:p w:rsidR="00573A6C" w:rsidRDefault="00573A6C">
      <w:pPr>
        <w:pStyle w:val="newncpi0"/>
        <w:jc w:val="center"/>
      </w:pPr>
      <w:r>
        <w:t>__________________________________________________________________________________________________________________</w:t>
      </w:r>
    </w:p>
    <w:p w:rsidR="00573A6C" w:rsidRDefault="00573A6C">
      <w:pPr>
        <w:pStyle w:val="undline"/>
        <w:jc w:val="center"/>
      </w:pPr>
      <w:r>
        <w:t>(</w:t>
      </w:r>
      <w:proofErr w:type="gramStart"/>
      <w:r>
        <w:t>полное</w:t>
      </w:r>
      <w:proofErr w:type="gramEnd"/>
      <w:r>
        <w:t xml:space="preserve"> наименование научно-технологического парка)</w:t>
      </w:r>
    </w:p>
    <w:p w:rsidR="00573A6C" w:rsidRDefault="00573A6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223"/>
        <w:gridCol w:w="2549"/>
        <w:gridCol w:w="4382"/>
      </w:tblGrid>
      <w:tr w:rsidR="00573A6C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3A6C" w:rsidRDefault="00573A6C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3A6C" w:rsidRDefault="00573A6C">
            <w:pPr>
              <w:pStyle w:val="table10"/>
              <w:jc w:val="center"/>
            </w:pPr>
            <w:r>
              <w:t>Направления расходования средств фонда инновационного развития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3A6C" w:rsidRDefault="00573A6C">
            <w:pPr>
              <w:pStyle w:val="table10"/>
              <w:jc w:val="center"/>
            </w:pPr>
            <w:r>
              <w:t>Объем фактически освоенных средств субъектом инновационной инфраструктуры, тыс. рублей</w:t>
            </w:r>
          </w:p>
        </w:tc>
        <w:tc>
          <w:tcPr>
            <w:tcW w:w="13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3A6C" w:rsidRDefault="00573A6C">
            <w:pPr>
              <w:pStyle w:val="table10"/>
              <w:jc w:val="center"/>
            </w:pPr>
            <w:r>
              <w:t>Объем фактически освоенных средств по филиалу субъекта инновационной инфраструктуры или отдельному мероприятию по развитию инновационной инфраструктуры, тыс. рублей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Осуществление технопарком деятельности в соответствии со статьей 26 Закона Республики Беларусь «О государственной инновационной политике и инновационной деятельности», в том числе путем: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предоставления на договорной основе движимого и (или) недвижимого имущества, в том числе комплекса программно-технических средств, информационных систем, информационных сетей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оказания услуг по подготовке бизнес-планов инновационных проектов и управлению инновационными проектами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проведения работ, связанных с изготовлением и испытаниями опытного образца, иных опытно-конструкторских работ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оказания инженерно-консультационных и проектных услуг (инжиниринговых услуг)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проведения работ по оценке соответствия техническим требованиям в случае, если технопарк имеет аккредитацию органа по оценке соответствия техническим требованиям, полученную в соответствии с законодательством об оценке соответствия техническим требованиям и аккредитации органов по оценке соответствия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оказания услуг по получению правовой охраны объектов права промышленной собственности в Республике Беларусь и за рубежом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lastRenderedPageBreak/>
              <w:t>1.7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оказания услуг по организации и проведению оценки стоимости объектов интеллектуальной собственности в составе нематериальных активов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организации и проведения маркетинговых исследований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информационного продвижения новшеств и (или) продукции, технологий, услуг, организационно-технических решений, созданных на основе новшеств, посредством организации участия резидентов технопарка в проведении выставок, ярмарок, конференций и других мероприятий, изготовления рекламно-информационной продукции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направление технопарком средств фонда на иную деятельность в соответствии со статьей 26 Закона Республики Беларусь «О государственной инновационной политике и инновационной деятельности»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Организация деятельности и развитие материально-технической базы технопарка, включая капитальные расходы, в том числе: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 xml:space="preserve">приобретение основных средств (научного, технологического и иного оборудования, приборов и комплектующих изделий) </w:t>
            </w: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 xml:space="preserve">капитальное строительство, капитальный ремонт зданий, помещений, сооружений </w:t>
            </w: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Финансирование выполняемых резидентами технопарка инновационных проектов, в том числе:**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на возвратной основе (займ), из них на: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3.1.1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rPr>
                <w:i/>
                <w:iCs/>
              </w:rPr>
              <w:t>проведение работ, связанных с изготовлением и испытаниями опытного образца, иных опытно-конструкторских работ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3.1.2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rPr>
                <w:i/>
                <w:iCs/>
              </w:rPr>
              <w:t>оказание инженерно-консультационных и проектных услуг (инжиниринговых услуг)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3.1.3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rPr>
                <w:i/>
                <w:iCs/>
              </w:rPr>
              <w:t>закупка технологического оборудования, комплектующих и запасных частей к нему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t>на безвозвратной основе, из них на: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3.2.1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rPr>
                <w:i/>
                <w:iCs/>
              </w:rPr>
              <w:t>проведение работ, связанных с изготовлением и испытаниями опытного образца, иных опытно-конструкторских работ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3.2.2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rPr>
                <w:i/>
                <w:iCs/>
              </w:rPr>
              <w:t>оказание инженерно-консультационных и проектных услуг (инжиниринговых услуг)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3.2.3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ind w:left="283"/>
            </w:pPr>
            <w:r>
              <w:rPr>
                <w:i/>
                <w:iCs/>
              </w:rPr>
              <w:t>закупка технологического оборудования, комплектующих и запасных частей к нему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  <w:tr w:rsidR="00573A6C">
        <w:trPr>
          <w:trHeight w:val="240"/>
        </w:trPr>
        <w:tc>
          <w:tcPr>
            <w:tcW w:w="1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  <w:jc w:val="center"/>
            </w:pPr>
            <w:r>
              <w:t>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ИТОГО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table10"/>
            </w:pPr>
            <w:r>
              <w:t> </w:t>
            </w:r>
          </w:p>
        </w:tc>
      </w:tr>
    </w:tbl>
    <w:p w:rsidR="00573A6C" w:rsidRDefault="00573A6C">
      <w:pPr>
        <w:pStyle w:val="newncpi"/>
      </w:pPr>
      <w:r>
        <w:t> </w:t>
      </w:r>
    </w:p>
    <w:p w:rsidR="00573A6C" w:rsidRDefault="00573A6C">
      <w:pPr>
        <w:pStyle w:val="snoskiline"/>
      </w:pPr>
      <w:r>
        <w:t>______________________________</w:t>
      </w:r>
    </w:p>
    <w:p w:rsidR="00573A6C" w:rsidRDefault="00573A6C">
      <w:pPr>
        <w:pStyle w:val="snoski"/>
      </w:pPr>
      <w:r>
        <w:t>* К отчету прилагается пояснительная записка с отражением остатка средств фонда по итогам закрытия финансового года.</w:t>
      </w:r>
    </w:p>
    <w:p w:rsidR="00573A6C" w:rsidRDefault="00573A6C">
      <w:pPr>
        <w:pStyle w:val="snoski"/>
        <w:spacing w:after="240"/>
      </w:pPr>
      <w:r>
        <w:t>** Заполняется по каждому резиденту, выполняющему инновационный проект.</w:t>
      </w:r>
    </w:p>
    <w:p w:rsidR="00573A6C" w:rsidRDefault="00573A6C">
      <w:pPr>
        <w:pStyle w:val="newncpi0"/>
      </w:pPr>
      <w:r>
        <w:t>Дата составления отчета: ____________________________________________________________________</w:t>
      </w:r>
    </w:p>
    <w:p w:rsidR="00573A6C" w:rsidRDefault="00573A6C">
      <w:pPr>
        <w:pStyle w:val="undline"/>
        <w:ind w:firstLine="5812"/>
      </w:pPr>
      <w:r>
        <w:t>(число, месяц, год)</w:t>
      </w:r>
    </w:p>
    <w:p w:rsidR="00573A6C" w:rsidRDefault="00573A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2859"/>
        <w:gridCol w:w="4765"/>
      </w:tblGrid>
      <w:tr w:rsidR="00573A6C">
        <w:trPr>
          <w:trHeight w:val="238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</w:pPr>
            <w:r>
              <w:lastRenderedPageBreak/>
              <w:t>______________________________________________________________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  <w:jc w:val="right"/>
            </w:pPr>
            <w:r>
              <w:t>____________________________________</w:t>
            </w:r>
          </w:p>
        </w:tc>
      </w:tr>
      <w:tr w:rsidR="00573A6C">
        <w:trPr>
          <w:trHeight w:val="238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undline"/>
              <w:ind w:firstLine="1837"/>
            </w:pPr>
            <w:r>
              <w:t>(должность руководителя юридического лица)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573A6C">
        <w:trPr>
          <w:trHeight w:val="238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  <w:jc w:val="left"/>
            </w:pPr>
            <w:r>
              <w:t> </w:t>
            </w:r>
          </w:p>
        </w:tc>
      </w:tr>
    </w:tbl>
    <w:p w:rsidR="00573A6C" w:rsidRDefault="00573A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2859"/>
        <w:gridCol w:w="4765"/>
      </w:tblGrid>
      <w:tr w:rsidR="00573A6C">
        <w:trPr>
          <w:trHeight w:val="238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</w:pPr>
            <w:r>
              <w:t>Главный бухгалтер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newncpi0"/>
              <w:jc w:val="right"/>
            </w:pPr>
            <w:r>
              <w:t>____________________________________</w:t>
            </w:r>
          </w:p>
        </w:tc>
      </w:tr>
      <w:tr w:rsidR="00573A6C">
        <w:trPr>
          <w:trHeight w:val="238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undline"/>
            </w:pPr>
            <w:r>
              <w:t> </w:t>
            </w:r>
          </w:p>
        </w:tc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3A6C" w:rsidRDefault="00573A6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573A6C" w:rsidRDefault="00573A6C">
      <w:pPr>
        <w:pStyle w:val="newncpi"/>
      </w:pPr>
      <w:r>
        <w:t> </w:t>
      </w:r>
    </w:p>
    <w:p w:rsidR="00E852FE" w:rsidRDefault="00206115">
      <w:bookmarkStart w:id="0" w:name="_GoBack"/>
      <w:bookmarkEnd w:id="0"/>
    </w:p>
    <w:sectPr w:rsidR="00E852FE">
      <w:pgSz w:w="16860" w:h="11906" w:orient="landscape"/>
      <w:pgMar w:top="1417" w:right="567" w:bottom="113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6C"/>
    <w:rsid w:val="000410CC"/>
    <w:rsid w:val="000679B5"/>
    <w:rsid w:val="0013694E"/>
    <w:rsid w:val="00206115"/>
    <w:rsid w:val="003C6681"/>
    <w:rsid w:val="00432DBC"/>
    <w:rsid w:val="004447F3"/>
    <w:rsid w:val="0046312F"/>
    <w:rsid w:val="00573A6C"/>
    <w:rsid w:val="007E69C9"/>
    <w:rsid w:val="00AF3500"/>
    <w:rsid w:val="00E02C92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D8B6E-A1DD-4903-8A51-15C9E58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73A6C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onestring">
    <w:name w:val="onestring"/>
    <w:basedOn w:val="a"/>
    <w:rsid w:val="00573A6C"/>
    <w:pPr>
      <w:ind w:firstLine="0"/>
      <w:jc w:val="righ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573A6C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73A6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573A6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573A6C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573A6C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573A6C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cap1">
    <w:name w:val="cap1"/>
    <w:basedOn w:val="a"/>
    <w:rsid w:val="00573A6C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573A6C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573A6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573A6C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573A6C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newncpiv">
    <w:name w:val="newncpiv"/>
    <w:basedOn w:val="a"/>
    <w:rsid w:val="00573A6C"/>
    <w:pPr>
      <w:ind w:firstLine="567"/>
    </w:pPr>
    <w:rPr>
      <w:rFonts w:eastAsiaTheme="minorEastAsia"/>
      <w:i/>
      <w:iCs/>
      <w:sz w:val="24"/>
      <w:szCs w:val="24"/>
      <w:lang w:eastAsia="ru-RU"/>
    </w:rPr>
  </w:style>
  <w:style w:type="character" w:customStyle="1" w:styleId="name">
    <w:name w:val="name"/>
    <w:basedOn w:val="a0"/>
    <w:rsid w:val="00573A6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73A6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73A6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73A6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73A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73A6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2</cp:revision>
  <dcterms:created xsi:type="dcterms:W3CDTF">2026-01-29T08:44:00Z</dcterms:created>
  <dcterms:modified xsi:type="dcterms:W3CDTF">2026-01-30T13:13:00Z</dcterms:modified>
</cp:coreProperties>
</file>